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F0C81" w:rsidRDefault="007F0C81" w:rsidP="007F0C81">
      <w:pPr>
        <w:pStyle w:val="BodyText"/>
        <w:kinsoku w:val="0"/>
        <w:overflowPunct w:val="0"/>
        <w:spacing w:before="6"/>
        <w:ind w:left="0" w:firstLine="0"/>
        <w:rPr>
          <w:rFonts w:ascii="Times New Roman" w:hAnsi="Times New Roman" w:cs="Times New Roman"/>
          <w:sz w:val="6"/>
          <w:szCs w:val="6"/>
        </w:rPr>
      </w:pPr>
    </w:p>
    <w:p w14:paraId="0A37501D" w14:textId="77777777" w:rsidR="007F0C81" w:rsidRDefault="007F0C81" w:rsidP="007F0C81">
      <w:pPr>
        <w:pStyle w:val="BodyText"/>
        <w:kinsoku w:val="0"/>
        <w:overflowPunct w:val="0"/>
        <w:ind w:left="7293" w:firstLine="0"/>
        <w:rPr>
          <w:rFonts w:ascii="Times New Roman" w:hAnsi="Times New Roman" w:cs="Times New Roman"/>
        </w:rPr>
      </w:pPr>
      <w:r>
        <w:rPr>
          <w:noProof/>
        </w:rPr>
        <w:drawing>
          <wp:inline distT="0" distB="0" distL="0" distR="0" wp14:anchorId="24CE91BC" wp14:editId="2BF30874">
            <wp:extent cx="21526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152650" cy="704850"/>
                    </a:xfrm>
                    <a:prstGeom prst="rect">
                      <a:avLst/>
                    </a:prstGeom>
                  </pic:spPr>
                </pic:pic>
              </a:graphicData>
            </a:graphic>
          </wp:inline>
        </w:drawing>
      </w:r>
    </w:p>
    <w:p w14:paraId="0FF2D34C" w14:textId="77777777" w:rsidR="007F0C81" w:rsidRDefault="007F0C81" w:rsidP="007F0C81">
      <w:pPr>
        <w:pStyle w:val="Heading1"/>
        <w:kinsoku w:val="0"/>
        <w:overflowPunct w:val="0"/>
        <w:jc w:val="center"/>
        <w:rPr>
          <w:b w:val="0"/>
          <w:bCs w:val="0"/>
        </w:rPr>
      </w:pPr>
      <w:r>
        <w:rPr>
          <w:spacing w:val="-1"/>
        </w:rPr>
        <w:t>JOB</w:t>
      </w:r>
      <w:r>
        <w:rPr>
          <w:spacing w:val="1"/>
        </w:rPr>
        <w:t xml:space="preserve"> </w:t>
      </w:r>
      <w:r>
        <w:rPr>
          <w:spacing w:val="-1"/>
        </w:rPr>
        <w:t>DESCRIPTION</w:t>
      </w:r>
    </w:p>
    <w:p w14:paraId="5808205D" w14:textId="77A974B3" w:rsidR="007F0C81" w:rsidRDefault="001A2F11" w:rsidP="007F0C81">
      <w:pPr>
        <w:pStyle w:val="BodyText"/>
        <w:kinsoku w:val="0"/>
        <w:overflowPunct w:val="0"/>
        <w:ind w:left="3640" w:right="3538" w:firstLine="0"/>
        <w:jc w:val="center"/>
        <w:rPr>
          <w:rFonts w:ascii="Calibri" w:hAnsi="Calibri" w:cs="Calibri"/>
          <w:b/>
          <w:bCs/>
          <w:spacing w:val="33"/>
          <w:sz w:val="22"/>
          <w:szCs w:val="22"/>
        </w:rPr>
      </w:pPr>
      <w:r w:rsidRPr="001A2F11">
        <w:rPr>
          <w:rFonts w:ascii="Calibri" w:hAnsi="Calibri" w:cs="Calibri"/>
          <w:b/>
          <w:bCs/>
          <w:spacing w:val="-1"/>
          <w:sz w:val="22"/>
          <w:szCs w:val="22"/>
        </w:rPr>
        <w:t xml:space="preserve">Evaluation and Impact </w:t>
      </w:r>
      <w:r w:rsidR="00FC4714">
        <w:rPr>
          <w:rFonts w:ascii="Calibri" w:hAnsi="Calibri" w:cs="Calibri"/>
          <w:b/>
          <w:bCs/>
          <w:spacing w:val="-1"/>
          <w:sz w:val="22"/>
          <w:szCs w:val="22"/>
        </w:rPr>
        <w:t>Officer</w:t>
      </w:r>
    </w:p>
    <w:p w14:paraId="5DAB6C7B" w14:textId="77777777" w:rsidR="007F0C81" w:rsidRDefault="007F0C81" w:rsidP="007F0C81">
      <w:pPr>
        <w:pStyle w:val="BodyText"/>
        <w:kinsoku w:val="0"/>
        <w:overflowPunct w:val="0"/>
        <w:spacing w:before="8"/>
        <w:ind w:left="0" w:firstLine="0"/>
        <w:rPr>
          <w:rFonts w:ascii="Calibri" w:hAnsi="Calibri" w:cs="Calibri"/>
          <w:b/>
          <w:bCs/>
          <w:sz w:val="22"/>
          <w:szCs w:val="22"/>
        </w:rPr>
      </w:pPr>
    </w:p>
    <w:tbl>
      <w:tblPr>
        <w:tblW w:w="0" w:type="auto"/>
        <w:tblInd w:w="279" w:type="dxa"/>
        <w:tblCellMar>
          <w:left w:w="0" w:type="dxa"/>
          <w:right w:w="0" w:type="dxa"/>
        </w:tblCellMar>
        <w:tblLook w:val="0000" w:firstRow="0" w:lastRow="0" w:firstColumn="0" w:lastColumn="0" w:noHBand="0" w:noVBand="0"/>
      </w:tblPr>
      <w:tblGrid>
        <w:gridCol w:w="3587"/>
        <w:gridCol w:w="6934"/>
      </w:tblGrid>
      <w:tr w:rsidR="000500C6" w:rsidRPr="00F16923" w14:paraId="2DA7690A" w14:textId="77777777" w:rsidTr="67F21C64">
        <w:trPr>
          <w:trHeight w:hRule="exact" w:val="278"/>
        </w:trPr>
        <w:tc>
          <w:tcPr>
            <w:tcW w:w="0" w:type="auto"/>
            <w:tcBorders>
              <w:top w:val="single" w:sz="4" w:space="0" w:color="000000" w:themeColor="text1"/>
              <w:left w:val="single" w:sz="4" w:space="0" w:color="000000" w:themeColor="text1"/>
              <w:bottom w:val="single" w:sz="4" w:space="0" w:color="000000" w:themeColor="text1"/>
              <w:right w:val="nil"/>
            </w:tcBorders>
          </w:tcPr>
          <w:p w14:paraId="4FFBFBC1" w14:textId="2FC7180F" w:rsidR="007F0C81" w:rsidRPr="00F16923" w:rsidRDefault="007F0C81" w:rsidP="0055153D">
            <w:pPr>
              <w:pStyle w:val="TableParagraph"/>
              <w:tabs>
                <w:tab w:val="left" w:pos="1542"/>
              </w:tabs>
              <w:kinsoku w:val="0"/>
              <w:overflowPunct w:val="0"/>
              <w:ind w:left="102"/>
            </w:pPr>
            <w:r w:rsidRPr="00F16923">
              <w:rPr>
                <w:rFonts w:ascii="Calibri" w:hAnsi="Calibri" w:cs="Calibri"/>
                <w:b/>
                <w:bCs/>
                <w:spacing w:val="-2"/>
                <w:sz w:val="22"/>
                <w:szCs w:val="22"/>
              </w:rPr>
              <w:t>Job</w:t>
            </w:r>
            <w:r w:rsidRPr="00F16923">
              <w:rPr>
                <w:rFonts w:ascii="Calibri" w:hAnsi="Calibri" w:cs="Calibri"/>
                <w:b/>
                <w:bCs/>
                <w:spacing w:val="-1"/>
                <w:sz w:val="22"/>
                <w:szCs w:val="22"/>
              </w:rPr>
              <w:t xml:space="preserve"> </w:t>
            </w:r>
            <w:r>
              <w:rPr>
                <w:rFonts w:ascii="Calibri" w:hAnsi="Calibri" w:cs="Calibri"/>
                <w:b/>
                <w:bCs/>
                <w:sz w:val="22"/>
                <w:szCs w:val="22"/>
              </w:rPr>
              <w:t xml:space="preserve">Title: </w:t>
            </w:r>
            <w:r w:rsidR="001A2F11" w:rsidRPr="1C8E18DD">
              <w:rPr>
                <w:rFonts w:ascii="Calibri" w:hAnsi="Calibri" w:cs="Calibri"/>
                <w:sz w:val="22"/>
                <w:szCs w:val="22"/>
              </w:rPr>
              <w:t xml:space="preserve">Evaluation and Impact </w:t>
            </w:r>
            <w:r w:rsidR="00FC4714">
              <w:rPr>
                <w:rFonts w:ascii="Calibri" w:hAnsi="Calibri" w:cs="Calibri"/>
                <w:sz w:val="22"/>
                <w:szCs w:val="22"/>
              </w:rPr>
              <w:t>Officer</w:t>
            </w:r>
          </w:p>
        </w:tc>
        <w:tc>
          <w:tcPr>
            <w:tcW w:w="0" w:type="auto"/>
            <w:tcBorders>
              <w:top w:val="single" w:sz="4" w:space="0" w:color="000000" w:themeColor="text1"/>
              <w:left w:val="nil"/>
              <w:bottom w:val="single" w:sz="4" w:space="0" w:color="000000" w:themeColor="text1"/>
              <w:right w:val="single" w:sz="4" w:space="0" w:color="000000" w:themeColor="text1"/>
            </w:tcBorders>
          </w:tcPr>
          <w:p w14:paraId="4E3D77C2" w14:textId="42572DB9" w:rsidR="007F0C81" w:rsidRPr="00F16923" w:rsidRDefault="000500C6" w:rsidP="00C27BC7">
            <w:pPr>
              <w:pStyle w:val="TableParagraph"/>
              <w:kinsoku w:val="0"/>
              <w:overflowPunct w:val="0"/>
              <w:ind w:left="2016"/>
            </w:pPr>
            <w:r>
              <w:rPr>
                <w:rFonts w:ascii="Calibri" w:hAnsi="Calibri" w:cs="Calibri"/>
                <w:b/>
                <w:bCs/>
                <w:spacing w:val="-1"/>
                <w:sz w:val="22"/>
                <w:szCs w:val="22"/>
              </w:rPr>
              <w:t xml:space="preserve">                                                         </w:t>
            </w:r>
            <w:r w:rsidR="007F0C81" w:rsidRPr="00F16923">
              <w:rPr>
                <w:rFonts w:ascii="Calibri" w:hAnsi="Calibri" w:cs="Calibri"/>
                <w:b/>
                <w:bCs/>
                <w:spacing w:val="-1"/>
                <w:sz w:val="22"/>
                <w:szCs w:val="22"/>
              </w:rPr>
              <w:t>Present</w:t>
            </w:r>
            <w:r w:rsidR="007F0C81" w:rsidRPr="00F16923">
              <w:rPr>
                <w:rFonts w:ascii="Calibri" w:hAnsi="Calibri" w:cs="Calibri"/>
                <w:b/>
                <w:bCs/>
                <w:spacing w:val="-2"/>
                <w:sz w:val="22"/>
                <w:szCs w:val="22"/>
              </w:rPr>
              <w:t xml:space="preserve"> </w:t>
            </w:r>
            <w:r w:rsidR="007F0C81" w:rsidRPr="00F16923">
              <w:rPr>
                <w:rFonts w:ascii="Calibri" w:hAnsi="Calibri" w:cs="Calibri"/>
                <w:b/>
                <w:bCs/>
                <w:spacing w:val="-1"/>
                <w:sz w:val="22"/>
                <w:szCs w:val="22"/>
              </w:rPr>
              <w:t>Grade:</w:t>
            </w:r>
            <w:r w:rsidR="007F0C81" w:rsidRPr="00F16923">
              <w:rPr>
                <w:rFonts w:ascii="Calibri" w:hAnsi="Calibri" w:cs="Calibri"/>
                <w:b/>
                <w:bCs/>
                <w:spacing w:val="23"/>
                <w:sz w:val="22"/>
                <w:szCs w:val="22"/>
              </w:rPr>
              <w:t xml:space="preserve"> </w:t>
            </w:r>
            <w:r w:rsidR="00FC4714">
              <w:rPr>
                <w:rFonts w:ascii="Calibri" w:hAnsi="Calibri" w:cs="Calibri"/>
                <w:sz w:val="22"/>
                <w:szCs w:val="22"/>
              </w:rPr>
              <w:t>6</w:t>
            </w:r>
          </w:p>
        </w:tc>
      </w:tr>
      <w:tr w:rsidR="007F0C81" w:rsidRPr="00F16923" w14:paraId="43BA04D7" w14:textId="77777777" w:rsidTr="67F21C64">
        <w:trPr>
          <w:trHeight w:hRule="exact" w:val="420"/>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EAAD0" w14:textId="2794C0B2" w:rsidR="007F0C81" w:rsidRPr="00F16923" w:rsidRDefault="007F0C81" w:rsidP="001A2F11">
            <w:pPr>
              <w:pStyle w:val="TableParagraph"/>
              <w:tabs>
                <w:tab w:val="left" w:pos="1542"/>
              </w:tabs>
              <w:kinsoku w:val="0"/>
              <w:overflowPunct w:val="0"/>
              <w:spacing w:before="94"/>
              <w:ind w:left="102"/>
            </w:pPr>
            <w:r w:rsidRPr="00F16923">
              <w:rPr>
                <w:rFonts w:ascii="Calibri" w:hAnsi="Calibri" w:cs="Calibri"/>
                <w:b/>
                <w:bCs/>
                <w:spacing w:val="-1"/>
                <w:sz w:val="22"/>
                <w:szCs w:val="22"/>
              </w:rPr>
              <w:t>Division:</w:t>
            </w:r>
            <w:r w:rsidR="000C0638">
              <w:rPr>
                <w:rFonts w:ascii="Calibri" w:hAnsi="Calibri" w:cs="Calibri"/>
                <w:b/>
                <w:bCs/>
                <w:spacing w:val="-1"/>
                <w:sz w:val="22"/>
                <w:szCs w:val="22"/>
              </w:rPr>
              <w:t xml:space="preserve"> </w:t>
            </w:r>
            <w:r w:rsidR="001A2F11">
              <w:rPr>
                <w:rFonts w:ascii="Calibri" w:hAnsi="Calibri" w:cs="Calibri"/>
                <w:spacing w:val="-1"/>
                <w:sz w:val="22"/>
                <w:szCs w:val="22"/>
              </w:rPr>
              <w:t xml:space="preserve">Social Mobility and Student Success; </w:t>
            </w:r>
            <w:r w:rsidR="001A2F11" w:rsidRPr="001A2F11">
              <w:rPr>
                <w:rFonts w:ascii="Calibri" w:hAnsi="Calibri" w:cs="Calibri"/>
                <w:spacing w:val="-1"/>
                <w:sz w:val="22"/>
                <w:szCs w:val="22"/>
              </w:rPr>
              <w:t>External Relations</w:t>
            </w:r>
          </w:p>
        </w:tc>
      </w:tr>
      <w:tr w:rsidR="007F0C81" w:rsidRPr="00F16923" w14:paraId="42C4929F" w14:textId="77777777" w:rsidTr="67F21C64">
        <w:trPr>
          <w:trHeight w:hRule="exact" w:val="281"/>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9702F" w14:textId="10B13FC3" w:rsidR="007F0C81" w:rsidRPr="00F16923" w:rsidRDefault="007F0C81" w:rsidP="00D17374">
            <w:pPr>
              <w:pStyle w:val="TableParagraph"/>
              <w:tabs>
                <w:tab w:val="left" w:pos="2463"/>
              </w:tabs>
              <w:kinsoku w:val="0"/>
              <w:overflowPunct w:val="0"/>
              <w:ind w:left="102"/>
            </w:pPr>
            <w:r w:rsidRPr="00F16923">
              <w:rPr>
                <w:rFonts w:ascii="Calibri" w:hAnsi="Calibri" w:cs="Calibri"/>
                <w:b/>
                <w:bCs/>
                <w:spacing w:val="-1"/>
                <w:sz w:val="22"/>
                <w:szCs w:val="22"/>
              </w:rPr>
              <w:t>Directly responsible</w:t>
            </w:r>
            <w:r w:rsidRPr="00F16923">
              <w:rPr>
                <w:rFonts w:ascii="Calibri" w:hAnsi="Calibri" w:cs="Calibri"/>
                <w:b/>
                <w:bCs/>
                <w:spacing w:val="-3"/>
                <w:sz w:val="22"/>
                <w:szCs w:val="22"/>
              </w:rPr>
              <w:t xml:space="preserve"> </w:t>
            </w:r>
            <w:r w:rsidRPr="00F16923">
              <w:rPr>
                <w:rFonts w:ascii="Calibri" w:hAnsi="Calibri" w:cs="Calibri"/>
                <w:b/>
                <w:bCs/>
                <w:spacing w:val="-1"/>
                <w:sz w:val="22"/>
                <w:szCs w:val="22"/>
              </w:rPr>
              <w:t>to:</w:t>
            </w:r>
            <w:r w:rsidR="001A2F11">
              <w:rPr>
                <w:rFonts w:ascii="Calibri" w:hAnsi="Calibri" w:cs="Calibri"/>
                <w:b/>
                <w:bCs/>
                <w:spacing w:val="-1"/>
                <w:sz w:val="22"/>
                <w:szCs w:val="22"/>
              </w:rPr>
              <w:t xml:space="preserve"> </w:t>
            </w:r>
            <w:r w:rsidR="00FC4714">
              <w:rPr>
                <w:rFonts w:ascii="Calibri" w:hAnsi="Calibri" w:cs="Calibri"/>
                <w:bCs/>
                <w:spacing w:val="-1"/>
                <w:sz w:val="22"/>
                <w:szCs w:val="22"/>
              </w:rPr>
              <w:t>Evaluation and Impact Manager</w:t>
            </w:r>
          </w:p>
        </w:tc>
      </w:tr>
      <w:tr w:rsidR="0070233E" w:rsidRPr="00F16923" w14:paraId="077A7D98" w14:textId="77777777" w:rsidTr="67F21C64">
        <w:trPr>
          <w:trHeight w:val="2655"/>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F2CDF" w14:textId="77777777" w:rsidR="0070233E" w:rsidRPr="000B697D" w:rsidRDefault="0070233E" w:rsidP="00C27BC7">
            <w:pPr>
              <w:pStyle w:val="NoSpacing"/>
              <w:ind w:left="279"/>
              <w:rPr>
                <w:rFonts w:asciiTheme="minorHAnsi" w:hAnsiTheme="minorHAnsi" w:cstheme="minorHAnsi"/>
                <w:b/>
                <w:bCs/>
                <w:sz w:val="22"/>
                <w:szCs w:val="22"/>
              </w:rPr>
            </w:pPr>
            <w:r w:rsidRPr="000B697D">
              <w:rPr>
                <w:rFonts w:asciiTheme="minorHAnsi" w:hAnsiTheme="minorHAnsi" w:cstheme="minorHAnsi"/>
                <w:b/>
                <w:bCs/>
                <w:sz w:val="22"/>
                <w:szCs w:val="22"/>
              </w:rPr>
              <w:t>Other contacts</w:t>
            </w:r>
          </w:p>
          <w:p w14:paraId="210F1EEC" w14:textId="3D4BDBBD" w:rsidR="0070233E" w:rsidRPr="000B697D" w:rsidRDefault="0070233E" w:rsidP="00C27BC7">
            <w:pPr>
              <w:pStyle w:val="NoSpacing"/>
              <w:ind w:left="279"/>
              <w:rPr>
                <w:rFonts w:asciiTheme="minorHAnsi" w:hAnsiTheme="minorHAnsi" w:cstheme="minorBidi"/>
                <w:sz w:val="22"/>
                <w:szCs w:val="22"/>
              </w:rPr>
            </w:pPr>
            <w:r w:rsidRPr="0A029969">
              <w:rPr>
                <w:rFonts w:asciiTheme="minorHAnsi" w:hAnsiTheme="minorHAnsi" w:cstheme="minorBidi"/>
                <w:b/>
                <w:bCs/>
                <w:sz w:val="22"/>
                <w:szCs w:val="22"/>
              </w:rPr>
              <w:t>Internal</w:t>
            </w:r>
            <w:r w:rsidRPr="0A029969">
              <w:rPr>
                <w:rFonts w:asciiTheme="minorHAnsi" w:hAnsiTheme="minorHAnsi" w:cstheme="minorBidi"/>
                <w:sz w:val="22"/>
                <w:szCs w:val="22"/>
              </w:rPr>
              <w:t xml:space="preserve">: </w:t>
            </w:r>
          </w:p>
          <w:p w14:paraId="395A1CBF" w14:textId="757189B1" w:rsidR="0070233E" w:rsidRDefault="0070233E" w:rsidP="00C27BC7">
            <w:pPr>
              <w:pStyle w:val="NoSpacing"/>
              <w:ind w:left="279"/>
              <w:rPr>
                <w:rFonts w:asciiTheme="minorHAnsi" w:hAnsiTheme="minorHAnsi" w:cstheme="minorBidi"/>
                <w:sz w:val="22"/>
                <w:szCs w:val="22"/>
              </w:rPr>
            </w:pPr>
            <w:r w:rsidRPr="0A029969">
              <w:rPr>
                <w:rFonts w:asciiTheme="minorHAnsi" w:hAnsiTheme="minorHAnsi" w:cstheme="minorBidi"/>
                <w:sz w:val="22"/>
                <w:szCs w:val="22"/>
              </w:rPr>
              <w:t>Widening Participation Advisory Group (WPAG), Monitoring and Evaluation Group</w:t>
            </w:r>
            <w:r w:rsidR="00D808F3">
              <w:rPr>
                <w:rFonts w:asciiTheme="minorHAnsi" w:hAnsiTheme="minorHAnsi" w:cstheme="minorBidi"/>
                <w:sz w:val="22"/>
                <w:szCs w:val="22"/>
              </w:rPr>
              <w:t xml:space="preserve"> (MEG)</w:t>
            </w:r>
            <w:r w:rsidRPr="0A029969">
              <w:rPr>
                <w:rFonts w:asciiTheme="minorHAnsi" w:hAnsiTheme="minorHAnsi" w:cstheme="minorBidi"/>
                <w:sz w:val="22"/>
                <w:szCs w:val="22"/>
              </w:rPr>
              <w:t xml:space="preserve">, current students, Widening Participation, </w:t>
            </w:r>
            <w:r w:rsidR="00D93896">
              <w:rPr>
                <w:rFonts w:asciiTheme="minorHAnsi" w:hAnsiTheme="minorHAnsi" w:cstheme="minorBidi"/>
                <w:sz w:val="22"/>
                <w:szCs w:val="22"/>
              </w:rPr>
              <w:t xml:space="preserve">Student Success, </w:t>
            </w:r>
            <w:r w:rsidRPr="0842D228">
              <w:rPr>
                <w:rFonts w:asciiTheme="minorHAnsi" w:hAnsiTheme="minorHAnsi" w:cstheme="minorBidi"/>
                <w:sz w:val="22"/>
                <w:szCs w:val="22"/>
              </w:rPr>
              <w:t>Planning and Analytics,</w:t>
            </w:r>
            <w:r w:rsidR="00400DD3">
              <w:rPr>
                <w:rFonts w:asciiTheme="minorHAnsi" w:hAnsiTheme="minorHAnsi" w:cstheme="minorBidi"/>
                <w:sz w:val="22"/>
                <w:szCs w:val="22"/>
              </w:rPr>
              <w:t xml:space="preserve"> Careers,</w:t>
            </w:r>
            <w:r w:rsidRPr="0842D228">
              <w:rPr>
                <w:rFonts w:asciiTheme="minorHAnsi" w:hAnsiTheme="minorHAnsi" w:cstheme="minorBidi"/>
                <w:sz w:val="22"/>
                <w:szCs w:val="22"/>
              </w:rPr>
              <w:t xml:space="preserve"> </w:t>
            </w:r>
            <w:r w:rsidR="00D93896" w:rsidRPr="0A029969">
              <w:rPr>
                <w:rFonts w:asciiTheme="minorHAnsi" w:hAnsiTheme="minorHAnsi" w:cstheme="minorBidi"/>
                <w:sz w:val="22"/>
                <w:szCs w:val="22"/>
              </w:rPr>
              <w:t>UK Student Recruitment</w:t>
            </w:r>
            <w:r w:rsidR="00D93896">
              <w:rPr>
                <w:rFonts w:asciiTheme="minorHAnsi" w:hAnsiTheme="minorHAnsi" w:cstheme="minorBidi"/>
                <w:sz w:val="22"/>
                <w:szCs w:val="22"/>
              </w:rPr>
              <w:t>,</w:t>
            </w:r>
            <w:r w:rsidR="00D93896" w:rsidRPr="0A029969">
              <w:rPr>
                <w:rFonts w:asciiTheme="minorHAnsi" w:hAnsiTheme="minorHAnsi" w:cstheme="minorBidi"/>
                <w:sz w:val="22"/>
                <w:szCs w:val="22"/>
              </w:rPr>
              <w:t xml:space="preserve"> </w:t>
            </w:r>
            <w:r w:rsidRPr="0A029969">
              <w:rPr>
                <w:rFonts w:asciiTheme="minorHAnsi" w:hAnsiTheme="minorHAnsi" w:cstheme="minorBidi"/>
                <w:sz w:val="22"/>
                <w:szCs w:val="22"/>
              </w:rPr>
              <w:t>UG/PG Admissions,</w:t>
            </w:r>
            <w:r w:rsidRPr="0842D228">
              <w:rPr>
                <w:rFonts w:asciiTheme="minorHAnsi" w:hAnsiTheme="minorHAnsi" w:cstheme="minorBidi"/>
                <w:sz w:val="22"/>
                <w:szCs w:val="22"/>
              </w:rPr>
              <w:t xml:space="preserve"> Marketing and Communications, other External Relations colleagues, Faculty Colleagues including Faculty Managers, Associate Deans, Admissions Tutors and Programme Directors, Students’ Union, S</w:t>
            </w:r>
            <w:r w:rsidR="001E454B">
              <w:rPr>
                <w:rFonts w:asciiTheme="minorHAnsi" w:hAnsiTheme="minorHAnsi" w:cstheme="minorBidi"/>
                <w:sz w:val="22"/>
                <w:szCs w:val="22"/>
              </w:rPr>
              <w:t xml:space="preserve">tudent and </w:t>
            </w:r>
            <w:r w:rsidRPr="0842D228">
              <w:rPr>
                <w:rFonts w:asciiTheme="minorHAnsi" w:hAnsiTheme="minorHAnsi" w:cstheme="minorBidi"/>
                <w:sz w:val="22"/>
                <w:szCs w:val="22"/>
              </w:rPr>
              <w:t>E</w:t>
            </w:r>
            <w:r w:rsidR="00814DB1">
              <w:rPr>
                <w:rFonts w:asciiTheme="minorHAnsi" w:hAnsiTheme="minorHAnsi" w:cstheme="minorBidi"/>
                <w:sz w:val="22"/>
                <w:szCs w:val="22"/>
              </w:rPr>
              <w:t xml:space="preserve">ducation </w:t>
            </w:r>
            <w:r w:rsidRPr="0842D228">
              <w:rPr>
                <w:rFonts w:asciiTheme="minorHAnsi" w:hAnsiTheme="minorHAnsi" w:cstheme="minorBidi"/>
                <w:sz w:val="22"/>
                <w:szCs w:val="22"/>
              </w:rPr>
              <w:t>S</w:t>
            </w:r>
            <w:r w:rsidR="00814DB1">
              <w:rPr>
                <w:rFonts w:asciiTheme="minorHAnsi" w:hAnsiTheme="minorHAnsi" w:cstheme="minorBidi"/>
                <w:sz w:val="22"/>
                <w:szCs w:val="22"/>
              </w:rPr>
              <w:t>ervices</w:t>
            </w:r>
            <w:r w:rsidRPr="0842D228">
              <w:rPr>
                <w:rFonts w:asciiTheme="minorHAnsi" w:hAnsiTheme="minorHAnsi" w:cstheme="minorBidi"/>
                <w:sz w:val="22"/>
                <w:szCs w:val="22"/>
              </w:rPr>
              <w:t xml:space="preserve"> management and staff and all other professional services.</w:t>
            </w:r>
          </w:p>
          <w:p w14:paraId="55D3B57A" w14:textId="77777777" w:rsidR="0070233E" w:rsidRPr="000B697D" w:rsidRDefault="0070233E" w:rsidP="00C27BC7">
            <w:pPr>
              <w:pStyle w:val="NoSpacing"/>
              <w:ind w:left="279"/>
              <w:rPr>
                <w:rFonts w:asciiTheme="minorHAnsi" w:hAnsiTheme="minorHAnsi" w:cstheme="minorHAnsi"/>
                <w:sz w:val="22"/>
                <w:szCs w:val="22"/>
              </w:rPr>
            </w:pPr>
          </w:p>
          <w:p w14:paraId="71D6E9A0" w14:textId="0597E313" w:rsidR="0070233E" w:rsidRPr="00F16923" w:rsidRDefault="0070233E" w:rsidP="00C27BC7">
            <w:pPr>
              <w:pStyle w:val="NoSpacing"/>
              <w:kinsoku w:val="0"/>
              <w:overflowPunct w:val="0"/>
              <w:ind w:left="279"/>
              <w:rPr>
                <w:rFonts w:asciiTheme="minorHAnsi" w:hAnsiTheme="minorHAnsi" w:cstheme="minorBidi"/>
                <w:sz w:val="22"/>
                <w:szCs w:val="22"/>
              </w:rPr>
            </w:pPr>
            <w:r w:rsidRPr="0A029969">
              <w:rPr>
                <w:rFonts w:asciiTheme="minorHAnsi" w:hAnsiTheme="minorHAnsi" w:cstheme="minorBidi"/>
                <w:b/>
                <w:bCs/>
                <w:sz w:val="22"/>
                <w:szCs w:val="22"/>
              </w:rPr>
              <w:t>External</w:t>
            </w:r>
            <w:r w:rsidRPr="0A029969">
              <w:rPr>
                <w:rFonts w:asciiTheme="minorHAnsi" w:hAnsiTheme="minorHAnsi" w:cstheme="minorBidi"/>
                <w:sz w:val="22"/>
                <w:szCs w:val="22"/>
              </w:rPr>
              <w:t xml:space="preserve">: </w:t>
            </w:r>
          </w:p>
          <w:p w14:paraId="2B13E6FC" w14:textId="42709581" w:rsidR="001A738A" w:rsidRDefault="0070233E" w:rsidP="00C27BC7">
            <w:pPr>
              <w:pStyle w:val="NoSpacing"/>
              <w:kinsoku w:val="0"/>
              <w:overflowPunct w:val="0"/>
              <w:ind w:left="279"/>
            </w:pPr>
            <w:r w:rsidRPr="0A029969">
              <w:rPr>
                <w:rFonts w:asciiTheme="minorHAnsi" w:hAnsiTheme="minorHAnsi" w:cstheme="minorBidi"/>
                <w:sz w:val="22"/>
                <w:szCs w:val="22"/>
              </w:rPr>
              <w:t xml:space="preserve">Office for Students (OfS), Transforming Access and Student Outcomes (TASO), Higher education Access Tracker (HEAT), </w:t>
            </w:r>
            <w:r w:rsidR="00400DD3">
              <w:rPr>
                <w:rFonts w:asciiTheme="minorHAnsi" w:hAnsiTheme="minorHAnsi" w:cstheme="minorBidi"/>
                <w:sz w:val="22"/>
                <w:szCs w:val="22"/>
              </w:rPr>
              <w:t xml:space="preserve">UK Evaluation Society (UKES), </w:t>
            </w:r>
            <w:r w:rsidRPr="0A029969">
              <w:rPr>
                <w:rFonts w:asciiTheme="minorHAnsi" w:hAnsiTheme="minorHAnsi" w:cstheme="minorBidi"/>
                <w:sz w:val="22"/>
                <w:szCs w:val="22"/>
              </w:rPr>
              <w:t>UG/PG enquirers and applicants, alumni, suppliers and service providers, HE sector professional networks</w:t>
            </w:r>
            <w:r w:rsidR="001A1DAD">
              <w:rPr>
                <w:rFonts w:asciiTheme="minorHAnsi" w:hAnsiTheme="minorHAnsi" w:cstheme="minorBidi"/>
                <w:sz w:val="22"/>
                <w:szCs w:val="22"/>
              </w:rPr>
              <w:t>,</w:t>
            </w:r>
            <w:r w:rsidRPr="0A029969">
              <w:rPr>
                <w:rFonts w:asciiTheme="minorHAnsi" w:hAnsiTheme="minorHAnsi" w:cstheme="minorBidi"/>
                <w:sz w:val="22"/>
                <w:szCs w:val="22"/>
              </w:rPr>
              <w:t xml:space="preserve"> and funding organisations, community organisations</w:t>
            </w:r>
            <w:r w:rsidR="001A1DAD">
              <w:rPr>
                <w:rFonts w:asciiTheme="minorHAnsi" w:hAnsiTheme="minorHAnsi" w:cstheme="minorBidi"/>
                <w:sz w:val="22"/>
                <w:szCs w:val="22"/>
              </w:rPr>
              <w:t>, charities</w:t>
            </w:r>
            <w:r w:rsidRPr="0A029969">
              <w:rPr>
                <w:rFonts w:asciiTheme="minorHAnsi" w:hAnsiTheme="minorHAnsi" w:cstheme="minorBidi"/>
                <w:sz w:val="22"/>
                <w:szCs w:val="22"/>
              </w:rPr>
              <w:t xml:space="preserve"> and local government.</w:t>
            </w:r>
            <w:r w:rsidR="001A738A">
              <w:t xml:space="preserve"> </w:t>
            </w:r>
          </w:p>
          <w:p w14:paraId="1B461D24" w14:textId="77777777" w:rsidR="001A738A" w:rsidRDefault="001A738A" w:rsidP="00C27BC7">
            <w:pPr>
              <w:pStyle w:val="NoSpacing"/>
              <w:kinsoku w:val="0"/>
              <w:overflowPunct w:val="0"/>
              <w:ind w:left="279"/>
              <w:rPr>
                <w:rFonts w:asciiTheme="minorHAnsi" w:hAnsiTheme="minorHAnsi" w:cstheme="minorBidi"/>
                <w:sz w:val="22"/>
                <w:szCs w:val="22"/>
              </w:rPr>
            </w:pPr>
          </w:p>
          <w:p w14:paraId="39239581" w14:textId="18127440" w:rsidR="001A738A" w:rsidRPr="00C27BC7" w:rsidRDefault="001A738A" w:rsidP="00C27BC7">
            <w:pPr>
              <w:pStyle w:val="NoSpacing"/>
              <w:kinsoku w:val="0"/>
              <w:overflowPunct w:val="0"/>
              <w:ind w:left="279"/>
              <w:rPr>
                <w:rFonts w:asciiTheme="minorHAnsi" w:hAnsiTheme="minorHAnsi" w:cstheme="minorBidi"/>
                <w:b/>
                <w:sz w:val="22"/>
                <w:szCs w:val="22"/>
              </w:rPr>
            </w:pPr>
            <w:r w:rsidRPr="001A738A">
              <w:rPr>
                <w:rFonts w:asciiTheme="minorHAnsi" w:hAnsiTheme="minorHAnsi" w:cstheme="minorBidi"/>
                <w:b/>
                <w:sz w:val="22"/>
                <w:szCs w:val="22"/>
              </w:rPr>
              <w:t>Role purpose:</w:t>
            </w:r>
          </w:p>
          <w:p w14:paraId="16A93B09" w14:textId="7B1702DE" w:rsidR="00FC4714" w:rsidRPr="000543AB" w:rsidRDefault="00FC4714" w:rsidP="67F21C64">
            <w:pPr>
              <w:pStyle w:val="NoSpacing"/>
              <w:kinsoku w:val="0"/>
              <w:overflowPunct w:val="0"/>
              <w:ind w:left="279"/>
              <w:rPr>
                <w:rFonts w:asciiTheme="minorHAnsi" w:hAnsiTheme="minorHAnsi" w:cstheme="minorBidi"/>
                <w:sz w:val="22"/>
                <w:szCs w:val="22"/>
              </w:rPr>
            </w:pPr>
            <w:r w:rsidRPr="000543AB">
              <w:rPr>
                <w:rFonts w:asciiTheme="minorHAnsi" w:hAnsiTheme="minorHAnsi" w:cstheme="minorBidi"/>
                <w:sz w:val="22"/>
                <w:szCs w:val="22"/>
              </w:rPr>
              <w:t xml:space="preserve">The Evaluation and Impact Officer is </w:t>
            </w:r>
            <w:r w:rsidR="000543AB" w:rsidRPr="000543AB">
              <w:rPr>
                <w:rFonts w:ascii="Calibri" w:eastAsia="Calibri" w:hAnsi="Calibri" w:cs="Calibri"/>
                <w:sz w:val="22"/>
                <w:szCs w:val="22"/>
              </w:rPr>
              <w:t>responsible for supporting the design, development and implementation of robust, standardised and creative forms of evaluation that will support the University in evidencing the impact of its award-winning widening participation (WP) and student success initiatives. Working with the wider Evaluation and Impact (E&amp;I) Team, the position holder will work closely with colleagues from a broad range of academic and professional service departments at Lancaster University to support the implementation of an evaluation framework, support with the design and delivery of evaluation, provide training and one-to-one guidance, and ensure consistency and excellence in the standard of evaluation being delivered across a range of projects.</w:t>
            </w:r>
          </w:p>
          <w:p w14:paraId="754A94FE" w14:textId="77777777" w:rsidR="00FC4714" w:rsidRPr="00FC4714" w:rsidRDefault="00FC4714" w:rsidP="00C27BC7">
            <w:pPr>
              <w:pStyle w:val="NoSpacing"/>
              <w:kinsoku w:val="0"/>
              <w:overflowPunct w:val="0"/>
              <w:ind w:left="279"/>
              <w:rPr>
                <w:rFonts w:asciiTheme="minorHAnsi" w:hAnsiTheme="minorHAnsi" w:cstheme="minorBidi"/>
                <w:sz w:val="22"/>
                <w:szCs w:val="22"/>
              </w:rPr>
            </w:pPr>
          </w:p>
          <w:p w14:paraId="0955A14D" w14:textId="2B9FC51C" w:rsidR="001A738A" w:rsidRDefault="00FC4714" w:rsidP="00C27BC7">
            <w:pPr>
              <w:pStyle w:val="NoSpacing"/>
              <w:kinsoku w:val="0"/>
              <w:overflowPunct w:val="0"/>
              <w:ind w:left="279"/>
              <w:rPr>
                <w:rFonts w:asciiTheme="minorHAnsi" w:hAnsiTheme="minorHAnsi" w:cstheme="minorBidi"/>
                <w:sz w:val="22"/>
                <w:szCs w:val="22"/>
              </w:rPr>
            </w:pPr>
            <w:r w:rsidRPr="00FC4714">
              <w:rPr>
                <w:rFonts w:asciiTheme="minorHAnsi" w:hAnsiTheme="minorHAnsi" w:cstheme="minorBidi"/>
                <w:sz w:val="22"/>
                <w:szCs w:val="22"/>
              </w:rPr>
              <w:t>The post-holder will be</w:t>
            </w:r>
            <w:r w:rsidR="00985BAE">
              <w:rPr>
                <w:rFonts w:asciiTheme="minorHAnsi" w:hAnsiTheme="minorHAnsi" w:cstheme="minorBidi"/>
                <w:sz w:val="22"/>
                <w:szCs w:val="22"/>
              </w:rPr>
              <w:t xml:space="preserve"> able to demonstrate relevant knowledge of evaluation methods and practice,</w:t>
            </w:r>
            <w:r w:rsidRPr="00FC4714">
              <w:rPr>
                <w:rFonts w:asciiTheme="minorHAnsi" w:hAnsiTheme="minorHAnsi" w:cstheme="minorBidi"/>
                <w:sz w:val="22"/>
                <w:szCs w:val="22"/>
              </w:rPr>
              <w:t xml:space="preserve"> comfortable in handling qualitative and quantitative data and drawing insights from evidence to inform decision-making, to answer questions of wider strategic importance and to feed into reporting procedures in line with strategic aims and targets set by the Office for Students (OfS) and those outlined in Lancaster’s Access and Participation Plan (APP). An ability to nurture effective working relationships is also essential. The Evaluation and Impact Officer will be the main point of contact for queries relating to evaluation and the Higher Education Access Tracker (HEAT) for teams engaged in WP from across the University including Professional Service and Academic Colleagues.</w:t>
            </w:r>
          </w:p>
          <w:p w14:paraId="12ED2C81" w14:textId="77777777" w:rsidR="00FC4714" w:rsidRPr="001A738A" w:rsidRDefault="00FC4714" w:rsidP="00C27BC7">
            <w:pPr>
              <w:pStyle w:val="NoSpacing"/>
              <w:kinsoku w:val="0"/>
              <w:overflowPunct w:val="0"/>
              <w:ind w:left="279"/>
              <w:rPr>
                <w:rFonts w:asciiTheme="minorHAnsi" w:hAnsiTheme="minorHAnsi" w:cstheme="minorBidi"/>
                <w:sz w:val="22"/>
                <w:szCs w:val="22"/>
              </w:rPr>
            </w:pPr>
          </w:p>
          <w:p w14:paraId="28073338" w14:textId="17D51AA7" w:rsidR="00FC4714" w:rsidRPr="001A738A" w:rsidRDefault="001A738A" w:rsidP="00C27BC7">
            <w:pPr>
              <w:pStyle w:val="NoSpacing"/>
              <w:kinsoku w:val="0"/>
              <w:overflowPunct w:val="0"/>
              <w:ind w:left="279"/>
              <w:rPr>
                <w:rFonts w:asciiTheme="minorHAnsi" w:hAnsiTheme="minorHAnsi" w:cstheme="minorBidi"/>
                <w:b/>
                <w:sz w:val="22"/>
                <w:szCs w:val="22"/>
              </w:rPr>
            </w:pPr>
            <w:r w:rsidRPr="001A738A">
              <w:rPr>
                <w:rFonts w:asciiTheme="minorHAnsi" w:hAnsiTheme="minorHAnsi" w:cstheme="minorBidi"/>
                <w:b/>
                <w:sz w:val="22"/>
                <w:szCs w:val="22"/>
              </w:rPr>
              <w:t>Principal duties:</w:t>
            </w:r>
          </w:p>
          <w:p w14:paraId="739E91D8" w14:textId="4696D198" w:rsidR="00FC4714" w:rsidRPr="00FC4714" w:rsidRDefault="00FC4714" w:rsidP="00C27BC7">
            <w:pPr>
              <w:pStyle w:val="NoSpacing"/>
              <w:kinsoku w:val="0"/>
              <w:overflowPunct w:val="0"/>
              <w:ind w:left="279"/>
              <w:rPr>
                <w:rFonts w:asciiTheme="minorHAnsi" w:hAnsiTheme="minorHAnsi" w:cstheme="minorBidi"/>
                <w:sz w:val="22"/>
                <w:szCs w:val="22"/>
              </w:rPr>
            </w:pPr>
            <w:r w:rsidRPr="00FC4714">
              <w:rPr>
                <w:rFonts w:asciiTheme="minorHAnsi" w:hAnsiTheme="minorHAnsi" w:cstheme="minorBidi"/>
                <w:sz w:val="22"/>
                <w:szCs w:val="22"/>
              </w:rPr>
              <w:t>1.</w:t>
            </w:r>
            <w:r w:rsidRPr="00FC4714">
              <w:rPr>
                <w:rFonts w:asciiTheme="minorHAnsi" w:hAnsiTheme="minorHAnsi" w:cstheme="minorBidi"/>
                <w:sz w:val="22"/>
                <w:szCs w:val="22"/>
              </w:rPr>
              <w:tab/>
              <w:t xml:space="preserve">To support the implementation of an evaluation framework and act as the main point of contact for evaluation, statistical analysis, data collection and the implementation of the Higher Education Access Tracker (HEAT) for </w:t>
            </w:r>
            <w:r w:rsidR="00985BAE">
              <w:rPr>
                <w:rFonts w:asciiTheme="minorHAnsi" w:hAnsiTheme="minorHAnsi" w:cstheme="minorBidi"/>
                <w:sz w:val="22"/>
                <w:szCs w:val="22"/>
              </w:rPr>
              <w:t>teams engaged in widening access</w:t>
            </w:r>
            <w:r w:rsidRPr="00FC4714">
              <w:rPr>
                <w:rFonts w:asciiTheme="minorHAnsi" w:hAnsiTheme="minorHAnsi" w:cstheme="minorBidi"/>
                <w:sz w:val="22"/>
                <w:szCs w:val="22"/>
              </w:rPr>
              <w:t xml:space="preserve"> and wider university colleagues engaged in WP initiatives. This includes providing advice, support and training as appropriate.</w:t>
            </w:r>
          </w:p>
          <w:p w14:paraId="254DF1AC" w14:textId="0653F587" w:rsidR="00FC4714" w:rsidRPr="00FC4714" w:rsidRDefault="00FC4714" w:rsidP="00C27BC7">
            <w:pPr>
              <w:pStyle w:val="NoSpacing"/>
              <w:kinsoku w:val="0"/>
              <w:overflowPunct w:val="0"/>
              <w:ind w:left="279"/>
              <w:rPr>
                <w:rFonts w:asciiTheme="minorHAnsi" w:hAnsiTheme="minorHAnsi" w:cstheme="minorBidi"/>
                <w:sz w:val="22"/>
                <w:szCs w:val="22"/>
              </w:rPr>
            </w:pPr>
            <w:r w:rsidRPr="00FC4714">
              <w:rPr>
                <w:rFonts w:asciiTheme="minorHAnsi" w:hAnsiTheme="minorHAnsi" w:cstheme="minorBidi"/>
                <w:sz w:val="22"/>
                <w:szCs w:val="22"/>
              </w:rPr>
              <w:t>2.</w:t>
            </w:r>
            <w:r w:rsidRPr="00FC4714">
              <w:rPr>
                <w:rFonts w:asciiTheme="minorHAnsi" w:hAnsiTheme="minorHAnsi" w:cstheme="minorBidi"/>
                <w:sz w:val="22"/>
                <w:szCs w:val="22"/>
              </w:rPr>
              <w:tab/>
              <w:t xml:space="preserve">To co-ordinate and </w:t>
            </w:r>
            <w:r w:rsidR="00CD7EAD">
              <w:rPr>
                <w:rFonts w:asciiTheme="minorHAnsi" w:hAnsiTheme="minorHAnsi" w:cstheme="minorBidi"/>
                <w:sz w:val="22"/>
                <w:szCs w:val="22"/>
              </w:rPr>
              <w:t xml:space="preserve">support the </w:t>
            </w:r>
            <w:r w:rsidRPr="00FC4714">
              <w:rPr>
                <w:rFonts w:asciiTheme="minorHAnsi" w:hAnsiTheme="minorHAnsi" w:cstheme="minorBidi"/>
                <w:sz w:val="22"/>
                <w:szCs w:val="22"/>
              </w:rPr>
              <w:t>deliver</w:t>
            </w:r>
            <w:r w:rsidR="00CD7EAD">
              <w:rPr>
                <w:rFonts w:asciiTheme="minorHAnsi" w:hAnsiTheme="minorHAnsi" w:cstheme="minorBidi"/>
                <w:sz w:val="22"/>
                <w:szCs w:val="22"/>
              </w:rPr>
              <w:t>y of</w:t>
            </w:r>
            <w:r w:rsidRPr="00FC4714">
              <w:rPr>
                <w:rFonts w:asciiTheme="minorHAnsi" w:hAnsiTheme="minorHAnsi" w:cstheme="minorBidi"/>
                <w:sz w:val="22"/>
                <w:szCs w:val="22"/>
              </w:rPr>
              <w:t xml:space="preserve"> qualitative and quantitative evaluation of WP initiatives from across the student lifecycle, using a mixed</w:t>
            </w:r>
            <w:r w:rsidR="00C0715C" w:rsidRPr="00FC4714">
              <w:rPr>
                <w:rFonts w:asciiTheme="minorHAnsi" w:hAnsiTheme="minorHAnsi" w:cstheme="minorBidi"/>
                <w:sz w:val="22"/>
                <w:szCs w:val="22"/>
              </w:rPr>
              <w:t xml:space="preserve"> </w:t>
            </w:r>
            <w:r w:rsidRPr="00FC4714">
              <w:rPr>
                <w:rFonts w:asciiTheme="minorHAnsi" w:hAnsiTheme="minorHAnsi" w:cstheme="minorBidi"/>
                <w:sz w:val="22"/>
                <w:szCs w:val="22"/>
              </w:rPr>
              <w:t xml:space="preserve">methods approach i.e. surveys, focus groups, interviews etc. Using this data to monitor progress towards </w:t>
            </w:r>
            <w:r w:rsidR="00C0715C">
              <w:rPr>
                <w:rFonts w:asciiTheme="minorHAnsi" w:hAnsiTheme="minorHAnsi" w:cstheme="minorBidi"/>
                <w:sz w:val="22"/>
                <w:szCs w:val="22"/>
              </w:rPr>
              <w:t>targets</w:t>
            </w:r>
            <w:r w:rsidRPr="00FC4714">
              <w:rPr>
                <w:rFonts w:asciiTheme="minorHAnsi" w:hAnsiTheme="minorHAnsi" w:cstheme="minorBidi"/>
                <w:sz w:val="22"/>
                <w:szCs w:val="22"/>
              </w:rPr>
              <w:t xml:space="preserve"> and ensuring that the agreed strategy and evaluation plans are effectively implemented.</w:t>
            </w:r>
          </w:p>
          <w:p w14:paraId="3A3D2408" w14:textId="7B9400B9" w:rsidR="00FC4714" w:rsidRPr="00FC4714" w:rsidRDefault="00FC4714" w:rsidP="00C27BC7">
            <w:pPr>
              <w:pStyle w:val="NoSpacing"/>
              <w:kinsoku w:val="0"/>
              <w:overflowPunct w:val="0"/>
              <w:ind w:left="279"/>
              <w:rPr>
                <w:rFonts w:asciiTheme="minorHAnsi" w:hAnsiTheme="minorHAnsi" w:cstheme="minorBidi"/>
                <w:sz w:val="22"/>
                <w:szCs w:val="22"/>
              </w:rPr>
            </w:pPr>
            <w:r w:rsidRPr="00FC4714">
              <w:rPr>
                <w:rFonts w:asciiTheme="minorHAnsi" w:hAnsiTheme="minorHAnsi" w:cstheme="minorBidi"/>
                <w:sz w:val="22"/>
                <w:szCs w:val="22"/>
              </w:rPr>
              <w:t>3.</w:t>
            </w:r>
            <w:r w:rsidRPr="00FC4714">
              <w:rPr>
                <w:rFonts w:asciiTheme="minorHAnsi" w:hAnsiTheme="minorHAnsi" w:cstheme="minorBidi"/>
                <w:sz w:val="22"/>
                <w:szCs w:val="22"/>
              </w:rPr>
              <w:tab/>
              <w:t>To support LU colleagues to ensure compliance with GPDR, ethics and safeguarding vulnerable students/young people when evaluating initiatives.</w:t>
            </w:r>
          </w:p>
          <w:p w14:paraId="569C2ADC" w14:textId="0CD2CAEE" w:rsidR="00FC4714" w:rsidRPr="00FC4714" w:rsidRDefault="00FC4714" w:rsidP="00C27BC7">
            <w:pPr>
              <w:pStyle w:val="NoSpacing"/>
              <w:kinsoku w:val="0"/>
              <w:overflowPunct w:val="0"/>
              <w:ind w:left="279"/>
              <w:rPr>
                <w:rFonts w:asciiTheme="minorHAnsi" w:hAnsiTheme="minorHAnsi" w:cstheme="minorBidi"/>
                <w:sz w:val="22"/>
                <w:szCs w:val="22"/>
              </w:rPr>
            </w:pPr>
            <w:r w:rsidRPr="00FC4714">
              <w:rPr>
                <w:rFonts w:asciiTheme="minorHAnsi" w:hAnsiTheme="minorHAnsi" w:cstheme="minorBidi"/>
                <w:sz w:val="22"/>
                <w:szCs w:val="22"/>
              </w:rPr>
              <w:t>4.</w:t>
            </w:r>
            <w:r w:rsidRPr="00FC4714">
              <w:rPr>
                <w:rFonts w:asciiTheme="minorHAnsi" w:hAnsiTheme="minorHAnsi" w:cstheme="minorBidi"/>
                <w:sz w:val="22"/>
                <w:szCs w:val="22"/>
              </w:rPr>
              <w:tab/>
              <w:t>To monitor and maintain records for reporting purposes, to evidence the impact of WP</w:t>
            </w:r>
            <w:r w:rsidR="00822585">
              <w:rPr>
                <w:rFonts w:asciiTheme="minorHAnsi" w:hAnsiTheme="minorHAnsi" w:cstheme="minorBidi"/>
                <w:sz w:val="22"/>
                <w:szCs w:val="22"/>
              </w:rPr>
              <w:t xml:space="preserve"> and student success</w:t>
            </w:r>
            <w:r w:rsidRPr="00FC4714">
              <w:rPr>
                <w:rFonts w:asciiTheme="minorHAnsi" w:hAnsiTheme="minorHAnsi" w:cstheme="minorBidi"/>
                <w:sz w:val="22"/>
                <w:szCs w:val="22"/>
              </w:rPr>
              <w:t xml:space="preserve"> programmes as per internal evaluation/monitoring procedures, and generate robust, high-quality data for external returns to national bodies.</w:t>
            </w:r>
          </w:p>
          <w:p w14:paraId="40251F9A" w14:textId="77777777" w:rsidR="00FC4714" w:rsidRPr="00FC4714" w:rsidRDefault="00FC4714" w:rsidP="00C27BC7">
            <w:pPr>
              <w:pStyle w:val="NoSpacing"/>
              <w:kinsoku w:val="0"/>
              <w:overflowPunct w:val="0"/>
              <w:ind w:left="279"/>
              <w:rPr>
                <w:rFonts w:asciiTheme="minorHAnsi" w:hAnsiTheme="minorHAnsi" w:cstheme="minorBidi"/>
                <w:sz w:val="22"/>
                <w:szCs w:val="22"/>
              </w:rPr>
            </w:pPr>
            <w:r w:rsidRPr="00FC4714">
              <w:rPr>
                <w:rFonts w:asciiTheme="minorHAnsi" w:hAnsiTheme="minorHAnsi" w:cstheme="minorBidi"/>
                <w:sz w:val="22"/>
                <w:szCs w:val="22"/>
              </w:rPr>
              <w:t>5.</w:t>
            </w:r>
            <w:r w:rsidRPr="00FC4714">
              <w:rPr>
                <w:rFonts w:asciiTheme="minorHAnsi" w:hAnsiTheme="minorHAnsi" w:cstheme="minorBidi"/>
                <w:sz w:val="22"/>
                <w:szCs w:val="22"/>
              </w:rPr>
              <w:tab/>
              <w:t xml:space="preserve">To perform detailed analysis and interpretation of information and data, working with the Planning and Data Analytics team, presenting results and making recommendations via briefings, presentations or written reports to </w:t>
            </w:r>
            <w:r w:rsidRPr="00FC4714">
              <w:rPr>
                <w:rFonts w:asciiTheme="minorHAnsi" w:hAnsiTheme="minorHAnsi" w:cstheme="minorBidi"/>
                <w:sz w:val="22"/>
                <w:szCs w:val="22"/>
              </w:rPr>
              <w:lastRenderedPageBreak/>
              <w:t>highlight progress and to support decision making.</w:t>
            </w:r>
          </w:p>
          <w:p w14:paraId="6B3A1D13" w14:textId="77777777" w:rsidR="00FC4714" w:rsidRPr="00FC4714" w:rsidRDefault="00FC4714" w:rsidP="00C27BC7">
            <w:pPr>
              <w:pStyle w:val="NoSpacing"/>
              <w:kinsoku w:val="0"/>
              <w:overflowPunct w:val="0"/>
              <w:ind w:left="279"/>
              <w:rPr>
                <w:rFonts w:asciiTheme="minorHAnsi" w:hAnsiTheme="minorHAnsi" w:cstheme="minorBidi"/>
                <w:sz w:val="22"/>
                <w:szCs w:val="22"/>
              </w:rPr>
            </w:pPr>
            <w:r w:rsidRPr="00FC4714">
              <w:rPr>
                <w:rFonts w:asciiTheme="minorHAnsi" w:hAnsiTheme="minorHAnsi" w:cstheme="minorBidi"/>
                <w:sz w:val="22"/>
                <w:szCs w:val="22"/>
              </w:rPr>
              <w:t>6.</w:t>
            </w:r>
            <w:r w:rsidRPr="00FC4714">
              <w:rPr>
                <w:rFonts w:asciiTheme="minorHAnsi" w:hAnsiTheme="minorHAnsi" w:cstheme="minorBidi"/>
                <w:sz w:val="22"/>
                <w:szCs w:val="22"/>
              </w:rPr>
              <w:tab/>
              <w:t>To keep up-to-date financial records and monitor budgets in relation to project work.</w:t>
            </w:r>
          </w:p>
          <w:p w14:paraId="2F7A62B5" w14:textId="77777777" w:rsidR="00FC4714" w:rsidRPr="00FC4714" w:rsidRDefault="00FC4714" w:rsidP="00C27BC7">
            <w:pPr>
              <w:pStyle w:val="NoSpacing"/>
              <w:kinsoku w:val="0"/>
              <w:overflowPunct w:val="0"/>
              <w:ind w:left="279"/>
              <w:rPr>
                <w:rFonts w:asciiTheme="minorHAnsi" w:hAnsiTheme="minorHAnsi" w:cstheme="minorBidi"/>
                <w:sz w:val="22"/>
                <w:szCs w:val="22"/>
              </w:rPr>
            </w:pPr>
            <w:r w:rsidRPr="00FC4714">
              <w:rPr>
                <w:rFonts w:asciiTheme="minorHAnsi" w:hAnsiTheme="minorHAnsi" w:cstheme="minorBidi"/>
                <w:sz w:val="22"/>
                <w:szCs w:val="22"/>
              </w:rPr>
              <w:t>7.</w:t>
            </w:r>
            <w:r w:rsidRPr="00FC4714">
              <w:rPr>
                <w:rFonts w:asciiTheme="minorHAnsi" w:hAnsiTheme="minorHAnsi" w:cstheme="minorBidi"/>
                <w:sz w:val="22"/>
                <w:szCs w:val="22"/>
              </w:rPr>
              <w:tab/>
              <w:t>Maintain and update own professional knowledge of issues relating to evaluation, widening access, student success and other areas specific to the role and share best practice.</w:t>
            </w:r>
          </w:p>
          <w:p w14:paraId="05297686" w14:textId="77777777" w:rsidR="00FC4714" w:rsidRPr="00FC4714" w:rsidRDefault="00FC4714" w:rsidP="00C27BC7">
            <w:pPr>
              <w:pStyle w:val="NoSpacing"/>
              <w:kinsoku w:val="0"/>
              <w:overflowPunct w:val="0"/>
              <w:ind w:left="279"/>
              <w:rPr>
                <w:rFonts w:asciiTheme="minorHAnsi" w:hAnsiTheme="minorHAnsi" w:cstheme="minorBidi"/>
                <w:sz w:val="22"/>
                <w:szCs w:val="22"/>
              </w:rPr>
            </w:pPr>
            <w:r w:rsidRPr="00FC4714">
              <w:rPr>
                <w:rFonts w:asciiTheme="minorHAnsi" w:hAnsiTheme="minorHAnsi" w:cstheme="minorBidi"/>
                <w:sz w:val="22"/>
                <w:szCs w:val="22"/>
              </w:rPr>
              <w:t>8.</w:t>
            </w:r>
            <w:r w:rsidRPr="00FC4714">
              <w:rPr>
                <w:rFonts w:asciiTheme="minorHAnsi" w:hAnsiTheme="minorHAnsi" w:cstheme="minorBidi"/>
                <w:sz w:val="22"/>
                <w:szCs w:val="22"/>
              </w:rPr>
              <w:tab/>
              <w:t>To be involved in the delivery of divisional activities such as Open Days, Summer Schools, Teacher Conferences and Clearing.</w:t>
            </w:r>
          </w:p>
          <w:p w14:paraId="22B4B212" w14:textId="77777777" w:rsidR="00FC4714" w:rsidRPr="00FC4714" w:rsidRDefault="00FC4714" w:rsidP="00C27BC7">
            <w:pPr>
              <w:pStyle w:val="NoSpacing"/>
              <w:kinsoku w:val="0"/>
              <w:overflowPunct w:val="0"/>
              <w:ind w:left="279"/>
              <w:rPr>
                <w:rFonts w:asciiTheme="minorHAnsi" w:hAnsiTheme="minorHAnsi" w:cstheme="minorBidi"/>
                <w:sz w:val="22"/>
                <w:szCs w:val="22"/>
              </w:rPr>
            </w:pPr>
            <w:r w:rsidRPr="00FC4714">
              <w:rPr>
                <w:rFonts w:asciiTheme="minorHAnsi" w:hAnsiTheme="minorHAnsi" w:cstheme="minorBidi"/>
                <w:sz w:val="22"/>
                <w:szCs w:val="22"/>
              </w:rPr>
              <w:t>9.</w:t>
            </w:r>
            <w:r w:rsidRPr="00FC4714">
              <w:rPr>
                <w:rFonts w:asciiTheme="minorHAnsi" w:hAnsiTheme="minorHAnsi" w:cstheme="minorBidi"/>
                <w:sz w:val="22"/>
                <w:szCs w:val="22"/>
              </w:rPr>
              <w:tab/>
              <w:t>At all times to carry out your responsibilities with due regard to the University’s code on Equality and Diversity, University Health and Safety Codes of Practice and Child Protection Policy.</w:t>
            </w:r>
          </w:p>
          <w:p w14:paraId="7ECFDDBC" w14:textId="1A89C46F" w:rsidR="0070233E" w:rsidRPr="00C27BC7" w:rsidRDefault="00FC4714" w:rsidP="00C27BC7">
            <w:pPr>
              <w:pStyle w:val="NoSpacing"/>
              <w:kinsoku w:val="0"/>
              <w:overflowPunct w:val="0"/>
              <w:ind w:left="279"/>
              <w:rPr>
                <w:rFonts w:asciiTheme="minorHAnsi" w:hAnsiTheme="minorHAnsi" w:cstheme="minorBidi"/>
                <w:sz w:val="22"/>
                <w:szCs w:val="22"/>
              </w:rPr>
            </w:pPr>
            <w:r w:rsidRPr="00FC4714">
              <w:rPr>
                <w:rFonts w:asciiTheme="minorHAnsi" w:hAnsiTheme="minorHAnsi" w:cstheme="minorBidi"/>
                <w:sz w:val="22"/>
                <w:szCs w:val="22"/>
              </w:rPr>
              <w:t>10.</w:t>
            </w:r>
            <w:r w:rsidRPr="00FC4714">
              <w:rPr>
                <w:rFonts w:asciiTheme="minorHAnsi" w:hAnsiTheme="minorHAnsi" w:cstheme="minorBidi"/>
                <w:sz w:val="22"/>
                <w:szCs w:val="22"/>
              </w:rPr>
              <w:tab/>
              <w:t>Any other duties appropriate to the role as required by the Line Manager or Head of Department.</w:t>
            </w:r>
          </w:p>
        </w:tc>
      </w:tr>
    </w:tbl>
    <w:p w14:paraId="1FC39945" w14:textId="77777777" w:rsidR="00BC43BB" w:rsidRDefault="00BC43BB"/>
    <w:sectPr w:rsidR="00BC43BB" w:rsidSect="007F0C81">
      <w:pgSz w:w="11910" w:h="16840"/>
      <w:pgMar w:top="900" w:right="600" w:bottom="280" w:left="5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1F23" w14:textId="77777777" w:rsidR="000A3AE6" w:rsidRDefault="000A3AE6" w:rsidP="001A738A">
      <w:r>
        <w:separator/>
      </w:r>
    </w:p>
  </w:endnote>
  <w:endnote w:type="continuationSeparator" w:id="0">
    <w:p w14:paraId="09F3D679" w14:textId="77777777" w:rsidR="000A3AE6" w:rsidRDefault="000A3AE6" w:rsidP="001A738A">
      <w:r>
        <w:continuationSeparator/>
      </w:r>
    </w:p>
  </w:endnote>
  <w:endnote w:type="continuationNotice" w:id="1">
    <w:p w14:paraId="06409371" w14:textId="77777777" w:rsidR="000A3AE6" w:rsidRDefault="000A3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AEEC4" w14:textId="77777777" w:rsidR="000A3AE6" w:rsidRDefault="000A3AE6" w:rsidP="001A738A">
      <w:r>
        <w:separator/>
      </w:r>
    </w:p>
  </w:footnote>
  <w:footnote w:type="continuationSeparator" w:id="0">
    <w:p w14:paraId="12F848CE" w14:textId="77777777" w:rsidR="000A3AE6" w:rsidRDefault="000A3AE6" w:rsidP="001A738A">
      <w:r>
        <w:continuationSeparator/>
      </w:r>
    </w:p>
  </w:footnote>
  <w:footnote w:type="continuationNotice" w:id="1">
    <w:p w14:paraId="5BCB4B12" w14:textId="77777777" w:rsidR="000A3AE6" w:rsidRDefault="000A3AE6"/>
  </w:footnote>
</w:footnotes>
</file>

<file path=word/intelligence.xml><?xml version="1.0" encoding="utf-8"?>
<int:Intelligence xmlns:int="http://schemas.microsoft.com/office/intelligence/2019/intelligence">
  <int:IntelligenceSettings/>
  <int:Manifest>
    <int:ParagraphRange paragraphId="2127551932" textId="650018746" start="192" length="6" invalidationStart="192" invalidationLength="6" id="JIHZAHGn"/>
  </int:Manifest>
  <int:Observations>
    <int:Content id="JIHZAHG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233A"/>
    <w:multiLevelType w:val="hybridMultilevel"/>
    <w:tmpl w:val="9242949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D12174"/>
    <w:multiLevelType w:val="multilevel"/>
    <w:tmpl w:val="00000885"/>
    <w:lvl w:ilvl="0">
      <w:numFmt w:val="bullet"/>
      <w:lvlText w:val=""/>
      <w:lvlJc w:val="left"/>
      <w:pPr>
        <w:ind w:left="822" w:hanging="360"/>
      </w:pPr>
      <w:rPr>
        <w:rFonts w:ascii="Symbol" w:hAnsi="Symbol" w:cs="Symbol"/>
        <w:b w:val="0"/>
        <w:bCs w:val="0"/>
        <w:w w:val="99"/>
        <w:sz w:val="20"/>
        <w:szCs w:val="20"/>
      </w:rPr>
    </w:lvl>
    <w:lvl w:ilvl="1">
      <w:numFmt w:val="bullet"/>
      <w:lvlText w:val="•"/>
      <w:lvlJc w:val="left"/>
      <w:pPr>
        <w:ind w:left="1793" w:hanging="360"/>
      </w:pPr>
    </w:lvl>
    <w:lvl w:ilvl="2">
      <w:numFmt w:val="bullet"/>
      <w:lvlText w:val="•"/>
      <w:lvlJc w:val="left"/>
      <w:pPr>
        <w:ind w:left="2765" w:hanging="360"/>
      </w:pPr>
    </w:lvl>
    <w:lvl w:ilvl="3">
      <w:numFmt w:val="bullet"/>
      <w:lvlText w:val="•"/>
      <w:lvlJc w:val="left"/>
      <w:pPr>
        <w:ind w:left="3736" w:hanging="360"/>
      </w:pPr>
    </w:lvl>
    <w:lvl w:ilvl="4">
      <w:numFmt w:val="bullet"/>
      <w:lvlText w:val="•"/>
      <w:lvlJc w:val="left"/>
      <w:pPr>
        <w:ind w:left="4707" w:hanging="360"/>
      </w:pPr>
    </w:lvl>
    <w:lvl w:ilvl="5">
      <w:numFmt w:val="bullet"/>
      <w:lvlText w:val="•"/>
      <w:lvlJc w:val="left"/>
      <w:pPr>
        <w:ind w:left="5679" w:hanging="360"/>
      </w:pPr>
    </w:lvl>
    <w:lvl w:ilvl="6">
      <w:numFmt w:val="bullet"/>
      <w:lvlText w:val="•"/>
      <w:lvlJc w:val="left"/>
      <w:pPr>
        <w:ind w:left="6650" w:hanging="360"/>
      </w:pPr>
    </w:lvl>
    <w:lvl w:ilvl="7">
      <w:numFmt w:val="bullet"/>
      <w:lvlText w:val="•"/>
      <w:lvlJc w:val="left"/>
      <w:pPr>
        <w:ind w:left="7622" w:hanging="360"/>
      </w:pPr>
    </w:lvl>
    <w:lvl w:ilvl="8">
      <w:numFmt w:val="bullet"/>
      <w:lvlText w:val="•"/>
      <w:lvlJc w:val="left"/>
      <w:pPr>
        <w:ind w:left="8593" w:hanging="360"/>
      </w:pPr>
    </w:lvl>
  </w:abstractNum>
  <w:abstractNum w:abstractNumId="2" w15:restartNumberingAfterBreak="0">
    <w:nsid w:val="5846487B"/>
    <w:multiLevelType w:val="hybridMultilevel"/>
    <w:tmpl w:val="056201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895340C"/>
    <w:multiLevelType w:val="hybridMultilevel"/>
    <w:tmpl w:val="E73EBA90"/>
    <w:lvl w:ilvl="0" w:tplc="CCF6709E">
      <w:start w:val="10"/>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1125265">
    <w:abstractNumId w:val="1"/>
  </w:num>
  <w:num w:numId="2" w16cid:durableId="1794013994">
    <w:abstractNumId w:val="0"/>
  </w:num>
  <w:num w:numId="3" w16cid:durableId="1474525776">
    <w:abstractNumId w:val="2"/>
  </w:num>
  <w:num w:numId="4" w16cid:durableId="239678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C81"/>
    <w:rsid w:val="000500C6"/>
    <w:rsid w:val="000543AB"/>
    <w:rsid w:val="000A3AE6"/>
    <w:rsid w:val="000B697D"/>
    <w:rsid w:val="000C0638"/>
    <w:rsid w:val="000E175F"/>
    <w:rsid w:val="001A1DAD"/>
    <w:rsid w:val="001A2F11"/>
    <w:rsid w:val="001A738A"/>
    <w:rsid w:val="001C6DD7"/>
    <w:rsid w:val="001E454B"/>
    <w:rsid w:val="00231BC0"/>
    <w:rsid w:val="00276DAB"/>
    <w:rsid w:val="0031732E"/>
    <w:rsid w:val="00333801"/>
    <w:rsid w:val="00366883"/>
    <w:rsid w:val="00380FE5"/>
    <w:rsid w:val="00400DD3"/>
    <w:rsid w:val="00410171"/>
    <w:rsid w:val="00431337"/>
    <w:rsid w:val="00477B48"/>
    <w:rsid w:val="004A2D37"/>
    <w:rsid w:val="004A5420"/>
    <w:rsid w:val="0055153D"/>
    <w:rsid w:val="00561A53"/>
    <w:rsid w:val="005779A5"/>
    <w:rsid w:val="005A01C2"/>
    <w:rsid w:val="006430AD"/>
    <w:rsid w:val="0068653D"/>
    <w:rsid w:val="00695D1D"/>
    <w:rsid w:val="006F28DC"/>
    <w:rsid w:val="006F39A4"/>
    <w:rsid w:val="0070233E"/>
    <w:rsid w:val="00714015"/>
    <w:rsid w:val="00785999"/>
    <w:rsid w:val="00797CE8"/>
    <w:rsid w:val="007F0C81"/>
    <w:rsid w:val="0081374D"/>
    <w:rsid w:val="00814DB1"/>
    <w:rsid w:val="00817FAC"/>
    <w:rsid w:val="00822585"/>
    <w:rsid w:val="008711D2"/>
    <w:rsid w:val="008D6768"/>
    <w:rsid w:val="00922332"/>
    <w:rsid w:val="00985BAE"/>
    <w:rsid w:val="009E57AA"/>
    <w:rsid w:val="00A23382"/>
    <w:rsid w:val="00A34831"/>
    <w:rsid w:val="00A543CD"/>
    <w:rsid w:val="00A960FB"/>
    <w:rsid w:val="00AD3D5A"/>
    <w:rsid w:val="00BB6CE9"/>
    <w:rsid w:val="00BC43BB"/>
    <w:rsid w:val="00BE019A"/>
    <w:rsid w:val="00BE1C8F"/>
    <w:rsid w:val="00C02215"/>
    <w:rsid w:val="00C0715C"/>
    <w:rsid w:val="00C13CB8"/>
    <w:rsid w:val="00C27BC7"/>
    <w:rsid w:val="00C5316A"/>
    <w:rsid w:val="00CD7EAD"/>
    <w:rsid w:val="00D17374"/>
    <w:rsid w:val="00D43617"/>
    <w:rsid w:val="00D808F3"/>
    <w:rsid w:val="00D93896"/>
    <w:rsid w:val="00EC7A45"/>
    <w:rsid w:val="00F21B05"/>
    <w:rsid w:val="00F968AA"/>
    <w:rsid w:val="00FC4714"/>
    <w:rsid w:val="00FE17AD"/>
    <w:rsid w:val="00FF60BD"/>
    <w:rsid w:val="016B3E80"/>
    <w:rsid w:val="01F91083"/>
    <w:rsid w:val="0842D228"/>
    <w:rsid w:val="09874C14"/>
    <w:rsid w:val="0A029969"/>
    <w:rsid w:val="0C7D81BC"/>
    <w:rsid w:val="0E165DC0"/>
    <w:rsid w:val="114DFE82"/>
    <w:rsid w:val="11FAC6B5"/>
    <w:rsid w:val="12B81B85"/>
    <w:rsid w:val="138D16F4"/>
    <w:rsid w:val="14362081"/>
    <w:rsid w:val="18259711"/>
    <w:rsid w:val="18475FBA"/>
    <w:rsid w:val="19591067"/>
    <w:rsid w:val="1AE45A97"/>
    <w:rsid w:val="1C8E18DD"/>
    <w:rsid w:val="20BF093B"/>
    <w:rsid w:val="222BBC9E"/>
    <w:rsid w:val="247DD554"/>
    <w:rsid w:val="27B57616"/>
    <w:rsid w:val="28BA6E38"/>
    <w:rsid w:val="297C4E06"/>
    <w:rsid w:val="2A6DD907"/>
    <w:rsid w:val="2AED16D8"/>
    <w:rsid w:val="2BF30874"/>
    <w:rsid w:val="2D4E4914"/>
    <w:rsid w:val="31AFC79B"/>
    <w:rsid w:val="32F924DC"/>
    <w:rsid w:val="39B22E3F"/>
    <w:rsid w:val="3A64AD56"/>
    <w:rsid w:val="3BB431B5"/>
    <w:rsid w:val="3BCD8F74"/>
    <w:rsid w:val="3E4C490C"/>
    <w:rsid w:val="3EF7893B"/>
    <w:rsid w:val="41E39FC2"/>
    <w:rsid w:val="42DAF0B6"/>
    <w:rsid w:val="450579AD"/>
    <w:rsid w:val="4567E9BF"/>
    <w:rsid w:val="45D5C9D8"/>
    <w:rsid w:val="496C5334"/>
    <w:rsid w:val="49978034"/>
    <w:rsid w:val="4A768744"/>
    <w:rsid w:val="4C00ABE5"/>
    <w:rsid w:val="4D108B92"/>
    <w:rsid w:val="4E59E8D3"/>
    <w:rsid w:val="52878CC7"/>
    <w:rsid w:val="54580AC7"/>
    <w:rsid w:val="564BD25B"/>
    <w:rsid w:val="569E457B"/>
    <w:rsid w:val="57075F79"/>
    <w:rsid w:val="57E7A2BC"/>
    <w:rsid w:val="59FE28FA"/>
    <w:rsid w:val="5AC9A930"/>
    <w:rsid w:val="5D9FE349"/>
    <w:rsid w:val="5E8D3AA6"/>
    <w:rsid w:val="61666BFE"/>
    <w:rsid w:val="62D4BB15"/>
    <w:rsid w:val="63FD0B07"/>
    <w:rsid w:val="64F27ED8"/>
    <w:rsid w:val="67F21C64"/>
    <w:rsid w:val="6A74317D"/>
    <w:rsid w:val="6BB80AAB"/>
    <w:rsid w:val="6EA35E70"/>
    <w:rsid w:val="6FD378D2"/>
    <w:rsid w:val="72274C2F"/>
    <w:rsid w:val="725F25E3"/>
    <w:rsid w:val="75CD215C"/>
    <w:rsid w:val="76B65DDB"/>
    <w:rsid w:val="7B89CEFE"/>
    <w:rsid w:val="7D259F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698D"/>
  <w15:docId w15:val="{CEBC5067-58F7-462A-96A9-89F15273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F0C81"/>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7F0C81"/>
    <w:pPr>
      <w:ind w:left="101"/>
      <w:outlineLvl w:val="0"/>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F0C81"/>
    <w:rPr>
      <w:rFonts w:ascii="Calibri" w:eastAsia="Times New Roman" w:hAnsi="Calibri" w:cs="Calibri"/>
      <w:b/>
      <w:bCs/>
      <w:lang w:eastAsia="en-GB"/>
    </w:rPr>
  </w:style>
  <w:style w:type="paragraph" w:styleId="BodyText">
    <w:name w:val="Body Text"/>
    <w:basedOn w:val="Normal"/>
    <w:link w:val="BodyTextChar"/>
    <w:uiPriority w:val="1"/>
    <w:qFormat/>
    <w:rsid w:val="007F0C81"/>
    <w:pPr>
      <w:ind w:left="821" w:hanging="360"/>
    </w:pPr>
    <w:rPr>
      <w:rFonts w:ascii="Arial" w:hAnsi="Arial" w:cs="Arial"/>
      <w:sz w:val="20"/>
      <w:szCs w:val="20"/>
    </w:rPr>
  </w:style>
  <w:style w:type="character" w:customStyle="1" w:styleId="BodyTextChar">
    <w:name w:val="Body Text Char"/>
    <w:basedOn w:val="DefaultParagraphFont"/>
    <w:link w:val="BodyText"/>
    <w:uiPriority w:val="1"/>
    <w:rsid w:val="007F0C81"/>
    <w:rPr>
      <w:rFonts w:ascii="Arial" w:eastAsia="Times New Roman" w:hAnsi="Arial" w:cs="Arial"/>
      <w:sz w:val="20"/>
      <w:szCs w:val="20"/>
      <w:lang w:eastAsia="en-GB"/>
    </w:rPr>
  </w:style>
  <w:style w:type="paragraph" w:styleId="ListParagraph">
    <w:name w:val="List Paragraph"/>
    <w:basedOn w:val="Normal"/>
    <w:uiPriority w:val="1"/>
    <w:qFormat/>
    <w:rsid w:val="007F0C81"/>
  </w:style>
  <w:style w:type="paragraph" w:customStyle="1" w:styleId="TableParagraph">
    <w:name w:val="Table Paragraph"/>
    <w:basedOn w:val="Normal"/>
    <w:uiPriority w:val="1"/>
    <w:qFormat/>
    <w:rsid w:val="007F0C81"/>
  </w:style>
  <w:style w:type="paragraph" w:styleId="BalloonText">
    <w:name w:val="Balloon Text"/>
    <w:basedOn w:val="Normal"/>
    <w:link w:val="BalloonTextChar"/>
    <w:uiPriority w:val="99"/>
    <w:semiHidden/>
    <w:unhideWhenUsed/>
    <w:rsid w:val="007F0C81"/>
    <w:rPr>
      <w:rFonts w:ascii="Tahoma" w:hAnsi="Tahoma" w:cs="Tahoma"/>
      <w:sz w:val="16"/>
      <w:szCs w:val="16"/>
    </w:rPr>
  </w:style>
  <w:style w:type="character" w:customStyle="1" w:styleId="BalloonTextChar">
    <w:name w:val="Balloon Text Char"/>
    <w:basedOn w:val="DefaultParagraphFont"/>
    <w:link w:val="BalloonText"/>
    <w:uiPriority w:val="99"/>
    <w:semiHidden/>
    <w:rsid w:val="007F0C81"/>
    <w:rPr>
      <w:rFonts w:ascii="Tahoma" w:eastAsia="Times New Roman" w:hAnsi="Tahoma" w:cs="Tahoma"/>
      <w:sz w:val="16"/>
      <w:szCs w:val="16"/>
      <w:lang w:eastAsia="en-GB"/>
    </w:rPr>
  </w:style>
  <w:style w:type="paragraph" w:styleId="Revision">
    <w:name w:val="Revision"/>
    <w:hidden/>
    <w:uiPriority w:val="99"/>
    <w:semiHidden/>
    <w:rsid w:val="001C6DD7"/>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0233E"/>
    <w:pPr>
      <w:widowControl/>
      <w:autoSpaceDE/>
      <w:autoSpaceDN/>
      <w:adjustRightInd/>
      <w:spacing w:before="100" w:beforeAutospacing="1" w:after="100" w:afterAutospacing="1"/>
    </w:pPr>
  </w:style>
  <w:style w:type="paragraph" w:styleId="NoSpacing">
    <w:name w:val="No Spacing"/>
    <w:uiPriority w:val="1"/>
    <w:qFormat/>
    <w:rsid w:val="0070233E"/>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31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697D"/>
    <w:rPr>
      <w:sz w:val="16"/>
      <w:szCs w:val="16"/>
    </w:rPr>
  </w:style>
  <w:style w:type="paragraph" w:styleId="CommentText">
    <w:name w:val="annotation text"/>
    <w:basedOn w:val="Normal"/>
    <w:link w:val="CommentTextChar"/>
    <w:uiPriority w:val="99"/>
    <w:semiHidden/>
    <w:unhideWhenUsed/>
    <w:rsid w:val="000B697D"/>
    <w:rPr>
      <w:sz w:val="20"/>
      <w:szCs w:val="20"/>
    </w:rPr>
  </w:style>
  <w:style w:type="character" w:customStyle="1" w:styleId="CommentTextChar">
    <w:name w:val="Comment Text Char"/>
    <w:basedOn w:val="DefaultParagraphFont"/>
    <w:link w:val="CommentText"/>
    <w:uiPriority w:val="99"/>
    <w:semiHidden/>
    <w:rsid w:val="000B697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B697D"/>
    <w:rPr>
      <w:b/>
      <w:bCs/>
    </w:rPr>
  </w:style>
  <w:style w:type="character" w:customStyle="1" w:styleId="CommentSubjectChar">
    <w:name w:val="Comment Subject Char"/>
    <w:basedOn w:val="CommentTextChar"/>
    <w:link w:val="CommentSubject"/>
    <w:uiPriority w:val="99"/>
    <w:semiHidden/>
    <w:rsid w:val="000B697D"/>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1A738A"/>
    <w:pPr>
      <w:tabs>
        <w:tab w:val="center" w:pos="4513"/>
        <w:tab w:val="right" w:pos="9026"/>
      </w:tabs>
    </w:pPr>
  </w:style>
  <w:style w:type="character" w:customStyle="1" w:styleId="HeaderChar">
    <w:name w:val="Header Char"/>
    <w:basedOn w:val="DefaultParagraphFont"/>
    <w:link w:val="Header"/>
    <w:uiPriority w:val="99"/>
    <w:rsid w:val="001A738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A738A"/>
    <w:pPr>
      <w:tabs>
        <w:tab w:val="center" w:pos="4513"/>
        <w:tab w:val="right" w:pos="9026"/>
      </w:tabs>
    </w:pPr>
  </w:style>
  <w:style w:type="character" w:customStyle="1" w:styleId="FooterChar">
    <w:name w:val="Footer Char"/>
    <w:basedOn w:val="DefaultParagraphFont"/>
    <w:link w:val="Footer"/>
    <w:uiPriority w:val="99"/>
    <w:rsid w:val="001A738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62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94489a3c5b334181" Type="http://schemas.microsoft.com/office/2019/09/relationships/intelligence" Target="intelligenc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18BEED3DA5CA42B47BB89550F203FD" ma:contentTypeVersion="3" ma:contentTypeDescription="Create a new document." ma:contentTypeScope="" ma:versionID="66c26b86b8b173794b0a5e627c7bc983">
  <xsd:schema xmlns:xsd="http://www.w3.org/2001/XMLSchema" xmlns:xs="http://www.w3.org/2001/XMLSchema" xmlns:p="http://schemas.microsoft.com/office/2006/metadata/properties" xmlns:ns2="2bb4b1e9-1f41-4894-a591-e5a811b5f0a1" targetNamespace="http://schemas.microsoft.com/office/2006/metadata/properties" ma:root="true" ma:fieldsID="afdfe6b737b792ac742c74cc04d03db9" ns2:_="">
    <xsd:import namespace="2bb4b1e9-1f41-4894-a591-e5a811b5f0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4b1e9-1f41-4894-a591-e5a811b5f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70C06-DC84-4950-99E4-99B2586FFD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40E2A2-282C-4543-9589-0AE013ACE373}">
  <ds:schemaRefs>
    <ds:schemaRef ds:uri="http://schemas.microsoft.com/sharepoint/v3/contenttype/forms"/>
  </ds:schemaRefs>
</ds:datastoreItem>
</file>

<file path=customXml/itemProps3.xml><?xml version="1.0" encoding="utf-8"?>
<ds:datastoreItem xmlns:ds="http://schemas.openxmlformats.org/officeDocument/2006/customXml" ds:itemID="{83F5C5E4-8FAA-491A-B4F1-34410F658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4b1e9-1f41-4894-a591-e5a811b5f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4132</Characters>
  <Application>Microsoft Office Word</Application>
  <DocSecurity>0</DocSecurity>
  <Lines>34</Lines>
  <Paragraphs>9</Paragraphs>
  <ScaleCrop>false</ScaleCrop>
  <Company>Lancaster University</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Yates, Heather</dc:creator>
  <cp:keywords/>
  <cp:lastModifiedBy>Pawelski, Matthew (pawelski)</cp:lastModifiedBy>
  <cp:revision>27</cp:revision>
  <dcterms:created xsi:type="dcterms:W3CDTF">2022-07-29T16:40:00Z</dcterms:created>
  <dcterms:modified xsi:type="dcterms:W3CDTF">2023-08-16T12:11:00Z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0x0101006A18BEED3DA5CA42B47BB89550F203FD</vt:lpwstr>
  </property>
</Properties>
</file>